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01F7A" w:rsidRDefault="00E4004C">
      <w:pPr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Bezpečnost a ochrana zdraví při práci</w:t>
      </w:r>
      <w:bookmarkStart w:id="0" w:name="_GoBack"/>
      <w:bookmarkEnd w:id="0"/>
    </w:p>
    <w:p w14:paraId="00000002" w14:textId="77777777" w:rsidR="00801F7A" w:rsidRDefault="00801F7A"/>
    <w:p w14:paraId="00000003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V laboratoři je dovoleno provádět pouze práce přikázané. Po celou dobu pobytu v laboratoři je nutné mít na očích </w:t>
      </w:r>
      <w:r>
        <w:rPr>
          <w:rFonts w:ascii="Cambria" w:eastAsia="Cambria" w:hAnsi="Cambria" w:cs="Cambria"/>
          <w:b/>
        </w:rPr>
        <w:t>bezpečnostní brýle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b/>
        </w:rPr>
        <w:t>vhodný laboratorní oděv</w:t>
      </w:r>
      <w:r>
        <w:rPr>
          <w:rFonts w:ascii="Cambria" w:eastAsia="Cambria" w:hAnsi="Cambria" w:cs="Cambria"/>
        </w:rPr>
        <w:t xml:space="preserve"> a vhodnou obuv (nevhodné jsou např. žabky, boty na podpatku, silonky aj.) a dlouhé vlasy mít sepnuté. Kontaktní čočky se v laboratoři nesmí používat, neboť gel absorbuje páry rozpouštědel a stopy dráždivých látek.</w:t>
      </w:r>
    </w:p>
    <w:p w14:paraId="00000004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2.</w:t>
      </w:r>
      <w:r>
        <w:rPr>
          <w:rFonts w:ascii="Cambria" w:eastAsia="Cambria" w:hAnsi="Cambria" w:cs="Cambria"/>
        </w:rPr>
        <w:tab/>
        <w:t>Podmínkou pro bezpečný chod laboratoří</w:t>
      </w:r>
      <w:r>
        <w:rPr>
          <w:rFonts w:ascii="Cambria" w:eastAsia="Cambria" w:hAnsi="Cambria" w:cs="Cambria"/>
        </w:rPr>
        <w:t xml:space="preserve"> je </w:t>
      </w:r>
      <w:r>
        <w:rPr>
          <w:rFonts w:ascii="Cambria" w:eastAsia="Cambria" w:hAnsi="Cambria" w:cs="Cambria"/>
          <w:b/>
        </w:rPr>
        <w:t>udržování pořádku na stolech</w:t>
      </w:r>
      <w:r>
        <w:rPr>
          <w:rFonts w:ascii="Cambria" w:eastAsia="Cambria" w:hAnsi="Cambria" w:cs="Cambria"/>
        </w:rPr>
        <w:t xml:space="preserve">, v digestořích a na podlaze. Je třeba ze stolů sklízet vše, s čím se nepracuje, nesmí tam být hořlavá rozpouštědla, je třeba neprodleně </w:t>
      </w:r>
      <w:r>
        <w:rPr>
          <w:rFonts w:ascii="Cambria" w:eastAsia="Cambria" w:hAnsi="Cambria" w:cs="Cambria"/>
          <w:b/>
        </w:rPr>
        <w:t>utírat rozlitou vodu</w:t>
      </w:r>
      <w:r>
        <w:rPr>
          <w:rFonts w:ascii="Cambria" w:eastAsia="Cambria" w:hAnsi="Cambria" w:cs="Cambria"/>
        </w:rPr>
        <w:t>, tím spíše pak rozlitá rozpouštědla ze stolů i z podlahy.</w:t>
      </w:r>
    </w:p>
    <w:p w14:paraId="00000005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Před </w:t>
      </w:r>
      <w:r>
        <w:rPr>
          <w:rFonts w:ascii="Cambria" w:eastAsia="Cambria" w:hAnsi="Cambria" w:cs="Cambria"/>
        </w:rPr>
        <w:t xml:space="preserve">zapálením plynového kahanu vždy zkontrolujte přívodnou hadici a dbejte jejího pevného nasazení na výstup plynového potrubí. Při </w:t>
      </w:r>
      <w:r>
        <w:rPr>
          <w:rFonts w:ascii="Cambria" w:eastAsia="Cambria" w:hAnsi="Cambria" w:cs="Cambria"/>
          <w:b/>
        </w:rPr>
        <w:t>zapalování kahanu</w:t>
      </w:r>
      <w:r>
        <w:rPr>
          <w:rFonts w:ascii="Cambria" w:eastAsia="Cambria" w:hAnsi="Cambria" w:cs="Cambria"/>
        </w:rPr>
        <w:t xml:space="preserve"> používejte zápalky, nikoli zapalovač a dávejte pozor, abyste otevřeli ventil skutečně na tom přívodu plynu, na</w:t>
      </w:r>
      <w:r>
        <w:rPr>
          <w:rFonts w:ascii="Cambria" w:eastAsia="Cambria" w:hAnsi="Cambria" w:cs="Cambria"/>
        </w:rPr>
        <w:t xml:space="preserve"> který je kahan připojen.</w:t>
      </w:r>
    </w:p>
    <w:p w14:paraId="00000006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Věnujte náležitou péči </w:t>
      </w:r>
      <w:r>
        <w:rPr>
          <w:rFonts w:ascii="Cambria" w:eastAsia="Cambria" w:hAnsi="Cambria" w:cs="Cambria"/>
          <w:b/>
        </w:rPr>
        <w:t>sestavování aparatur</w:t>
      </w:r>
      <w:r>
        <w:rPr>
          <w:rFonts w:ascii="Cambria" w:eastAsia="Cambria" w:hAnsi="Cambria" w:cs="Cambria"/>
        </w:rPr>
        <w:t>. Dbejte, aby aparatury byly těsné, aby páry nebo kapaliny z nich neunikaly kolem netěsných zátek nebo špatně sestavených či netěsnících zábrusů. K zabránění utajenému varu používáme m</w:t>
      </w:r>
      <w:r>
        <w:rPr>
          <w:rFonts w:ascii="Cambria" w:eastAsia="Cambria" w:hAnsi="Cambria" w:cs="Cambria"/>
        </w:rPr>
        <w:t xml:space="preserve">íchání magnetickým míchadlem nebo varný kamínek. Aparaturu v chodu nenechávejte bez dozoru. </w:t>
      </w:r>
    </w:p>
    <w:p w14:paraId="00000007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Práce, při nichž unikají plyny nebo páry, zejména pak </w:t>
      </w:r>
      <w:r>
        <w:rPr>
          <w:rFonts w:ascii="Cambria" w:eastAsia="Cambria" w:hAnsi="Cambria" w:cs="Cambria"/>
          <w:b/>
        </w:rPr>
        <w:t>práce s látkami dráždivými</w:t>
      </w:r>
      <w:r>
        <w:rPr>
          <w:rFonts w:ascii="Cambria" w:eastAsia="Cambria" w:hAnsi="Cambria" w:cs="Cambria"/>
        </w:rPr>
        <w:t xml:space="preserve"> a toxickými, provádějte </w:t>
      </w:r>
      <w:r>
        <w:rPr>
          <w:rFonts w:ascii="Cambria" w:eastAsia="Cambria" w:hAnsi="Cambria" w:cs="Cambria"/>
          <w:b/>
        </w:rPr>
        <w:t>v digestoři</w:t>
      </w:r>
      <w:r>
        <w:rPr>
          <w:rFonts w:ascii="Cambria" w:eastAsia="Cambria" w:hAnsi="Cambria" w:cs="Cambria"/>
        </w:rPr>
        <w:t>. V případě pochybností, zda danou operaci j</w:t>
      </w:r>
      <w:r>
        <w:rPr>
          <w:rFonts w:ascii="Cambria" w:eastAsia="Cambria" w:hAnsi="Cambria" w:cs="Cambria"/>
        </w:rPr>
        <w:t>e třeba provádět v digestoři, se vždy poraďte s laboratorním dozorem.</w:t>
      </w:r>
    </w:p>
    <w:p w14:paraId="00000008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Buďte opatrní při práci s </w:t>
      </w:r>
      <w:r>
        <w:rPr>
          <w:rFonts w:ascii="Cambria" w:eastAsia="Cambria" w:hAnsi="Cambria" w:cs="Cambria"/>
          <w:b/>
        </w:rPr>
        <w:t>organickými rozpouštědly</w:t>
      </w:r>
      <w:r>
        <w:rPr>
          <w:rFonts w:ascii="Cambria" w:eastAsia="Cambria" w:hAnsi="Cambria" w:cs="Cambria"/>
        </w:rPr>
        <w:t xml:space="preserve">, která jsou vesměs </w:t>
      </w:r>
      <w:r>
        <w:rPr>
          <w:rFonts w:ascii="Cambria" w:eastAsia="Cambria" w:hAnsi="Cambria" w:cs="Cambria"/>
          <w:b/>
        </w:rPr>
        <w:t>hořlavá</w:t>
      </w:r>
      <w:r>
        <w:rPr>
          <w:rFonts w:ascii="Cambria" w:eastAsia="Cambria" w:hAnsi="Cambria" w:cs="Cambria"/>
        </w:rPr>
        <w:t xml:space="preserve"> (</w:t>
      </w:r>
      <w:proofErr w:type="spellStart"/>
      <w:r>
        <w:rPr>
          <w:rFonts w:ascii="Cambria" w:eastAsia="Cambria" w:hAnsi="Cambria" w:cs="Cambria"/>
        </w:rPr>
        <w:t>diethylether</w:t>
      </w:r>
      <w:proofErr w:type="spellEnd"/>
      <w:r>
        <w:rPr>
          <w:rFonts w:ascii="Cambria" w:eastAsia="Cambria" w:hAnsi="Cambria" w:cs="Cambria"/>
        </w:rPr>
        <w:t xml:space="preserve">, aceton, alkoholy, toluen, octová kyselina). Při přelévání hořlavých rozpouštědel je třeba </w:t>
      </w:r>
      <w:r>
        <w:rPr>
          <w:rFonts w:ascii="Cambria" w:eastAsia="Cambria" w:hAnsi="Cambria" w:cs="Cambria"/>
        </w:rPr>
        <w:t>dbát dostatečné vzdálenosti od možného iniciačního zdroje vznícení par, kterým může být nejen kahan, ale i zapnuté topné hnízdo. Hořlaviny zásadně nenaléváme do kádinek nebo do misek, ale jímáme je do baněk nebo lahviček, které zazátkujeme. Hořlaviny se ni</w:t>
      </w:r>
      <w:r>
        <w:rPr>
          <w:rFonts w:ascii="Cambria" w:eastAsia="Cambria" w:hAnsi="Cambria" w:cs="Cambria"/>
        </w:rPr>
        <w:t>kdy nesmějí zahřívat přímým plamenem, ale na lázni, topném hnízdě či pomocí horkovzdušné pistole. Dojde-li k úniku hořlavých par do ovzduší laboratoře, okamžitě je třeba zhasnout kahany a vyvětrat, aby nedošlo k explozi.</w:t>
      </w:r>
    </w:p>
    <w:p w14:paraId="00000009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Dojde-li v laboratoři k </w:t>
      </w:r>
      <w:r>
        <w:rPr>
          <w:rFonts w:ascii="Cambria" w:eastAsia="Cambria" w:hAnsi="Cambria" w:cs="Cambria"/>
          <w:b/>
        </w:rPr>
        <w:t>zahoření</w:t>
      </w:r>
      <w:r>
        <w:rPr>
          <w:rFonts w:ascii="Cambria" w:eastAsia="Cambria" w:hAnsi="Cambria" w:cs="Cambria"/>
        </w:rPr>
        <w:t xml:space="preserve">, je třeba zhasnout všechny kahany, zahájit hašení a odstranit předměty z okolí, na které by se mohl oheň rozšířit. </w:t>
      </w:r>
      <w:r>
        <w:rPr>
          <w:rFonts w:ascii="Cambria" w:eastAsia="Cambria" w:hAnsi="Cambria" w:cs="Cambria"/>
          <w:b/>
        </w:rPr>
        <w:t>Hasíme</w:t>
      </w:r>
      <w:r>
        <w:rPr>
          <w:rFonts w:ascii="Cambria" w:eastAsia="Cambria" w:hAnsi="Cambria" w:cs="Cambria"/>
        </w:rPr>
        <w:t xml:space="preserve"> podle rozsahu ohně sfouknutím plamene, zabráněním přístupu kyslíku (přikrytím nádoby </w:t>
      </w:r>
      <w:proofErr w:type="spellStart"/>
      <w:r>
        <w:rPr>
          <w:rFonts w:ascii="Cambria" w:eastAsia="Cambria" w:hAnsi="Cambria" w:cs="Cambria"/>
        </w:rPr>
        <w:t>Petriho</w:t>
      </w:r>
      <w:proofErr w:type="spellEnd"/>
      <w:r>
        <w:rPr>
          <w:rFonts w:ascii="Cambria" w:eastAsia="Cambria" w:hAnsi="Cambria" w:cs="Cambria"/>
        </w:rPr>
        <w:t xml:space="preserve"> miskou, udušením menšího ohně přiložením</w:t>
      </w:r>
      <w:r>
        <w:rPr>
          <w:rFonts w:ascii="Cambria" w:eastAsia="Cambria" w:hAnsi="Cambria" w:cs="Cambria"/>
        </w:rPr>
        <w:t xml:space="preserve"> mokrého hadru) nebo sněhovým hasicím přístrojem. Použití hasicích přístrojů je povoleno pouze osobám starším 18 let.</w:t>
      </w:r>
    </w:p>
    <w:p w14:paraId="0000000A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8.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>Vždy hasíme tak, aby škody způsobené hašením byly menší než škody potenciálně způsobené požárem. Hořící rozpouštědlo v kádince tedy roz</w:t>
      </w:r>
      <w:r>
        <w:rPr>
          <w:rFonts w:ascii="Cambria" w:eastAsia="Cambria" w:hAnsi="Cambria" w:cs="Cambria"/>
        </w:rPr>
        <w:t xml:space="preserve">hodně nehasíme hasicím přístrojem.  </w:t>
      </w:r>
    </w:p>
    <w:p w14:paraId="0000000B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9.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Zvláštní opatrnosti zasluhuje </w:t>
      </w:r>
      <w:r>
        <w:rPr>
          <w:rFonts w:ascii="Cambria" w:eastAsia="Cambria" w:hAnsi="Cambria" w:cs="Cambria"/>
          <w:b/>
        </w:rPr>
        <w:t>manipulace s koncentrovanými kyselinami, zásadami</w:t>
      </w:r>
      <w:r>
        <w:rPr>
          <w:rFonts w:ascii="Cambria" w:eastAsia="Cambria" w:hAnsi="Cambria" w:cs="Cambria"/>
        </w:rPr>
        <w:t xml:space="preserve"> a dalšími žíravinami (kyselina sírová, chlorovodíková, dusičná, koncentrované roztoky hydroxidů, brom). V případě potřísnění kůže je roz</w:t>
      </w:r>
      <w:r>
        <w:rPr>
          <w:rFonts w:ascii="Cambria" w:eastAsia="Cambria" w:hAnsi="Cambria" w:cs="Cambria"/>
        </w:rPr>
        <w:t>hodující rychlost zásahu – omytí velkým množstvím vody. Tím spíš to platí při vniknutí těchto látek do oka (viz zásady první pomoci).</w:t>
      </w:r>
    </w:p>
    <w:p w14:paraId="0000000C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10.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>Veškeré nádoby obsahující chemikálie a jejich roztoky vždy zřetelně označte, aby nedošlo k záměnám.</w:t>
      </w:r>
    </w:p>
    <w:p w14:paraId="0000000D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lastRenderedPageBreak/>
        <w:t>11.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Při zahřívání na </w:t>
      </w:r>
      <w:r>
        <w:rPr>
          <w:rFonts w:ascii="Cambria" w:eastAsia="Cambria" w:hAnsi="Cambria" w:cs="Cambria"/>
          <w:b/>
        </w:rPr>
        <w:t>olejových lázních</w:t>
      </w:r>
      <w:r>
        <w:rPr>
          <w:rFonts w:ascii="Cambria" w:eastAsia="Cambria" w:hAnsi="Cambria" w:cs="Cambria"/>
        </w:rPr>
        <w:t xml:space="preserve"> dbejte, aby se lázeň nepřehřála (max. 200 °C), a aby se do ní nedostala voda.</w:t>
      </w:r>
    </w:p>
    <w:p w14:paraId="0000000E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12.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Dbejte, aby nedošlo k natečení vody do elektrických přístrojů (především topná hnízda a magnetické míchačky) z důvodu </w:t>
      </w:r>
      <w:r>
        <w:rPr>
          <w:rFonts w:ascii="Cambria" w:eastAsia="Cambria" w:hAnsi="Cambria" w:cs="Cambria"/>
          <w:b/>
        </w:rPr>
        <w:t>rizika úrazu elektric</w:t>
      </w:r>
      <w:r>
        <w:rPr>
          <w:rFonts w:ascii="Cambria" w:eastAsia="Cambria" w:hAnsi="Cambria" w:cs="Cambria"/>
          <w:b/>
        </w:rPr>
        <w:t>kým proudem</w:t>
      </w:r>
      <w:r>
        <w:rPr>
          <w:rFonts w:ascii="Cambria" w:eastAsia="Cambria" w:hAnsi="Cambria" w:cs="Cambria"/>
        </w:rPr>
        <w:t>. Pokud k natečení vody dojde, přístroj ihned odpojte od elektrické sítě a tuto skutečnost oznamte vyučujícímu. Ze stejného důvodu rovněž dávejte pozor, aby se přívodní kabely těchto přístrojů nedotýkaly jejich horkých částí – předejdete tím pře</w:t>
      </w:r>
      <w:r>
        <w:rPr>
          <w:rFonts w:ascii="Cambria" w:eastAsia="Cambria" w:hAnsi="Cambria" w:cs="Cambria"/>
        </w:rPr>
        <w:t>pálení izolace kabelu a obnažení živých vodičů.</w:t>
      </w:r>
    </w:p>
    <w:p w14:paraId="0000000F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13.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Použité </w:t>
      </w:r>
      <w:r>
        <w:rPr>
          <w:rFonts w:ascii="Cambria" w:eastAsia="Cambria" w:hAnsi="Cambria" w:cs="Cambria"/>
          <w:b/>
        </w:rPr>
        <w:t>nádobí</w:t>
      </w:r>
      <w:r>
        <w:rPr>
          <w:rFonts w:ascii="Cambria" w:eastAsia="Cambria" w:hAnsi="Cambria" w:cs="Cambria"/>
        </w:rPr>
        <w:t xml:space="preserve"> po vypláchnutí </w:t>
      </w:r>
      <w:r>
        <w:rPr>
          <w:rFonts w:ascii="Cambria" w:eastAsia="Cambria" w:hAnsi="Cambria" w:cs="Cambria"/>
          <w:b/>
        </w:rPr>
        <w:t>umyjte</w:t>
      </w:r>
      <w:r>
        <w:rPr>
          <w:rFonts w:ascii="Cambria" w:eastAsia="Cambria" w:hAnsi="Cambria" w:cs="Cambria"/>
        </w:rPr>
        <w:t xml:space="preserve"> teplou vodou se </w:t>
      </w:r>
      <w:r>
        <w:rPr>
          <w:rFonts w:ascii="Cambria" w:eastAsia="Cambria" w:hAnsi="Cambria" w:cs="Cambria"/>
          <w:b/>
        </w:rPr>
        <w:t xml:space="preserve">saponátem </w:t>
      </w:r>
      <w:r>
        <w:rPr>
          <w:rFonts w:ascii="Cambria" w:eastAsia="Cambria" w:hAnsi="Cambria" w:cs="Cambria"/>
        </w:rPr>
        <w:t>či pískem, používejte ruční mechanické čištění pomocí kartáčů k tomu určených. O odstranění případných ulpělých zbytků nečistot ze stěn nádob</w:t>
      </w:r>
      <w:r>
        <w:rPr>
          <w:rFonts w:ascii="Cambria" w:eastAsia="Cambria" w:hAnsi="Cambria" w:cs="Cambria"/>
        </w:rPr>
        <w:t xml:space="preserve"> se poraďte s vyučujícím nebo laborantem.</w:t>
      </w:r>
    </w:p>
    <w:p w14:paraId="00000010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14.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V laboratoři se </w:t>
      </w:r>
      <w:r>
        <w:rPr>
          <w:rFonts w:ascii="Cambria" w:eastAsia="Cambria" w:hAnsi="Cambria" w:cs="Cambria"/>
          <w:b/>
        </w:rPr>
        <w:t>nesmí kouřit, jíst, pít</w:t>
      </w:r>
      <w:r>
        <w:rPr>
          <w:rFonts w:ascii="Cambria" w:eastAsia="Cambria" w:hAnsi="Cambria" w:cs="Cambria"/>
        </w:rPr>
        <w:t>, ani uchovávat potraviny. Používejte vhodné ochranné pomůcky (brýle, plášť, dle požadavků laboratorního dozoru případně i rukavice či ochranný štít).</w:t>
      </w:r>
    </w:p>
    <w:p w14:paraId="00000011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15.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  <w:b/>
        </w:rPr>
        <w:t>Likvidace odpadn</w:t>
      </w:r>
      <w:r>
        <w:rPr>
          <w:rFonts w:ascii="Cambria" w:eastAsia="Cambria" w:hAnsi="Cambria" w:cs="Cambria"/>
          <w:b/>
        </w:rPr>
        <w:t>ích chemikálií</w:t>
      </w:r>
      <w:r>
        <w:rPr>
          <w:rFonts w:ascii="Cambria" w:eastAsia="Cambria" w:hAnsi="Cambria" w:cs="Cambria"/>
        </w:rPr>
        <w:t>: Rozpouštědla nemísící se s vodou se vylévají do označených nádob s odpadními rozpouštědly (podle povahy odpadu – halogenované × nehalogenované). Vodné roztoky anorganických látek, a dále alkoholy, aceton a další organické látky s vodou mísi</w:t>
      </w:r>
      <w:r>
        <w:rPr>
          <w:rFonts w:ascii="Cambria" w:eastAsia="Cambria" w:hAnsi="Cambria" w:cs="Cambria"/>
        </w:rPr>
        <w:t>telné se mohou vylévat též do výlevky, nutno je ale důkladně spláchnout vodou. Zbytky kyselin a zásad se po naředění opatrně vylévají do výlevek u stolů nebo v digestoři a důkladně se splachují vodou.</w:t>
      </w:r>
    </w:p>
    <w:p w14:paraId="00000012" w14:textId="77777777" w:rsidR="00801F7A" w:rsidRDefault="00E4004C">
      <w:pPr>
        <w:spacing w:after="60"/>
        <w:ind w:left="425" w:hanging="42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16.</w:t>
      </w:r>
      <w:r>
        <w:rPr>
          <w:rFonts w:ascii="Cambria" w:eastAsia="Cambria" w:hAnsi="Cambria" w:cs="Cambria"/>
        </w:rPr>
        <w:tab/>
        <w:t>V laboratoři nesmí pracovat těhotné a kojící ženy.</w:t>
      </w:r>
    </w:p>
    <w:p w14:paraId="00000013" w14:textId="77777777" w:rsidR="00801F7A" w:rsidRDefault="00E4004C">
      <w:pPr>
        <w:spacing w:before="240" w:after="24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Zásady první pomoci při nejběžnějších laboratorních nehodách</w:t>
      </w:r>
    </w:p>
    <w:p w14:paraId="00000014" w14:textId="77777777" w:rsidR="00801F7A" w:rsidRDefault="00E4004C">
      <w:pPr>
        <w:spacing w:after="60"/>
        <w:ind w:left="108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1.</w:t>
      </w:r>
      <w:r>
        <w:rPr>
          <w:rFonts w:ascii="Cambria" w:eastAsia="Cambria" w:hAnsi="Cambria" w:cs="Cambria"/>
        </w:rPr>
        <w:tab/>
        <w:t xml:space="preserve">Každou nehodu a </w:t>
      </w:r>
      <w:r>
        <w:rPr>
          <w:rFonts w:ascii="Cambria" w:eastAsia="Cambria" w:hAnsi="Cambria" w:cs="Cambria"/>
          <w:b/>
        </w:rPr>
        <w:t>úraz</w:t>
      </w:r>
      <w:r>
        <w:rPr>
          <w:rFonts w:ascii="Cambria" w:eastAsia="Cambria" w:hAnsi="Cambria" w:cs="Cambria"/>
        </w:rPr>
        <w:t xml:space="preserve"> je nutno </w:t>
      </w:r>
      <w:r>
        <w:rPr>
          <w:rFonts w:ascii="Cambria" w:eastAsia="Cambria" w:hAnsi="Cambria" w:cs="Cambria"/>
          <w:b/>
        </w:rPr>
        <w:t>hlásit vyučujícímu</w:t>
      </w:r>
      <w:r>
        <w:rPr>
          <w:rFonts w:ascii="Cambria" w:eastAsia="Cambria" w:hAnsi="Cambria" w:cs="Cambria"/>
        </w:rPr>
        <w:t>. Můžete-li však sami poskytnout účinnou první pomoc, udělejte to bez odkladu, učiteli nahlaste hned potom.</w:t>
      </w:r>
    </w:p>
    <w:p w14:paraId="00000015" w14:textId="77777777" w:rsidR="00801F7A" w:rsidRDefault="00E4004C">
      <w:pPr>
        <w:spacing w:after="60"/>
        <w:ind w:left="108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>Nejčastějšími úrazy v laboratoříc</w:t>
      </w:r>
      <w:r>
        <w:rPr>
          <w:rFonts w:ascii="Cambria" w:eastAsia="Cambria" w:hAnsi="Cambria" w:cs="Cambria"/>
        </w:rPr>
        <w:t xml:space="preserve">h jsou </w:t>
      </w:r>
      <w:r>
        <w:rPr>
          <w:rFonts w:ascii="Cambria" w:eastAsia="Cambria" w:hAnsi="Cambria" w:cs="Cambria"/>
          <w:b/>
        </w:rPr>
        <w:t>drobné popáleniny</w:t>
      </w:r>
      <w:r>
        <w:rPr>
          <w:rFonts w:ascii="Cambria" w:eastAsia="Cambria" w:hAnsi="Cambria" w:cs="Cambria"/>
        </w:rPr>
        <w:t>. Postižené místo je třeba co nejrychleji ochladit proudem studené vody. Menší popáleniny ošetříme poté gelem na popáleniny (</w:t>
      </w:r>
      <w:proofErr w:type="spellStart"/>
      <w:r>
        <w:rPr>
          <w:rFonts w:ascii="Cambria" w:eastAsia="Cambria" w:hAnsi="Cambria" w:cs="Cambria"/>
          <w:i/>
        </w:rPr>
        <w:t>WaterJel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BurnJel</w:t>
      </w:r>
      <w:proofErr w:type="spellEnd"/>
      <w:r>
        <w:rPr>
          <w:rFonts w:ascii="Cambria" w:eastAsia="Cambria" w:hAnsi="Cambria" w:cs="Cambria"/>
        </w:rPr>
        <w:t>). Popáleniny většího rozsahu (hrozí-li protržení puchýřů) obvážeme sterilním obvazem a nep</w:t>
      </w:r>
      <w:r>
        <w:rPr>
          <w:rFonts w:ascii="Cambria" w:eastAsia="Cambria" w:hAnsi="Cambria" w:cs="Cambria"/>
        </w:rPr>
        <w:t>rodleně vyhledáme lékařskou pomoc. Masti na popáleniny v těchto případech nepoužíváme.</w:t>
      </w:r>
    </w:p>
    <w:p w14:paraId="00000016" w14:textId="77777777" w:rsidR="00801F7A" w:rsidRDefault="00E4004C">
      <w:pPr>
        <w:spacing w:after="60"/>
        <w:ind w:left="108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Cambria" w:eastAsia="Cambria" w:hAnsi="Cambria" w:cs="Cambria"/>
        </w:rPr>
        <w:t xml:space="preserve">Většina chemických látek dráždí oči. Při </w:t>
      </w:r>
      <w:r>
        <w:rPr>
          <w:rFonts w:ascii="Cambria" w:eastAsia="Cambria" w:hAnsi="Cambria" w:cs="Cambria"/>
          <w:b/>
        </w:rPr>
        <w:t>vniknutí kapaliny nebo tuhé látky do oka</w:t>
      </w:r>
      <w:r>
        <w:rPr>
          <w:rFonts w:ascii="Cambria" w:eastAsia="Cambria" w:hAnsi="Cambria" w:cs="Cambria"/>
        </w:rPr>
        <w:t xml:space="preserve"> ihned oko vyplachujeme po dobu 10–30 min proudem vody pomocí oční sprchy, rozevřeme </w:t>
      </w:r>
      <w:r>
        <w:rPr>
          <w:rFonts w:ascii="Cambria" w:eastAsia="Cambria" w:hAnsi="Cambria" w:cs="Cambria"/>
        </w:rPr>
        <w:t>oční víčka (třeba i násilím). V případě, že i přes zákaz má postižený(á) nasazeny kontaktní čočky, je nutno je vyndat. Zajistěte co nejrychleji lékařské ošetření. To platí i v případech drobného zasažení oka.</w:t>
      </w:r>
    </w:p>
    <w:p w14:paraId="00000017" w14:textId="77777777" w:rsidR="00801F7A" w:rsidRDefault="00E4004C">
      <w:pPr>
        <w:spacing w:after="60"/>
        <w:ind w:left="1080" w:hanging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</w:t>
      </w:r>
      <w:r>
        <w:rPr>
          <w:rFonts w:ascii="Cambria" w:eastAsia="Cambria" w:hAnsi="Cambria" w:cs="Cambria"/>
        </w:rPr>
        <w:tab/>
        <w:t xml:space="preserve">Při </w:t>
      </w:r>
      <w:r>
        <w:rPr>
          <w:rFonts w:ascii="Cambria" w:eastAsia="Cambria" w:hAnsi="Cambria" w:cs="Cambria"/>
          <w:b/>
        </w:rPr>
        <w:t>zasažení kůže žíravinami</w:t>
      </w:r>
      <w:r>
        <w:rPr>
          <w:rFonts w:ascii="Cambria" w:eastAsia="Cambria" w:hAnsi="Cambria" w:cs="Cambria"/>
        </w:rPr>
        <w:t xml:space="preserve"> nebo dráždivými </w:t>
      </w:r>
      <w:r>
        <w:rPr>
          <w:rFonts w:ascii="Cambria" w:eastAsia="Cambria" w:hAnsi="Cambria" w:cs="Cambria"/>
        </w:rPr>
        <w:t xml:space="preserve">látkami oplachujeme zasažené místo proudem vody po dobu 10–30 min. V případě, že je zasažen oděv, je nutno jej rychle svléct a omývat zasažená místa pod ním. Poleptanou kůži po omytí překryjte sterilním obvazem a zajistěte lékařské ošetření. To není nutné </w:t>
      </w:r>
      <w:r>
        <w:rPr>
          <w:rFonts w:ascii="Cambria" w:eastAsia="Cambria" w:hAnsi="Cambria" w:cs="Cambria"/>
        </w:rPr>
        <w:t>při malém zasažení, pokud kůže po omytí nejeví známky popálení ani podráždění. V případě zasažení větší plochy kůže postiženého po ošetření přikryjte, aby neprochladl (opatření proti šoku).</w:t>
      </w:r>
    </w:p>
    <w:p w14:paraId="00000018" w14:textId="18B803E7" w:rsidR="00801F7A" w:rsidRDefault="00801F7A"/>
    <w:sectPr w:rsidR="00801F7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23649"/>
    <w:multiLevelType w:val="multilevel"/>
    <w:tmpl w:val="954627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73099F"/>
    <w:multiLevelType w:val="multilevel"/>
    <w:tmpl w:val="884AE2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5B0FF2"/>
    <w:multiLevelType w:val="multilevel"/>
    <w:tmpl w:val="F15278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7A"/>
    <w:rsid w:val="00801F7A"/>
    <w:rsid w:val="00E4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6009"/>
  <w15:docId w15:val="{0569AA96-C2BF-4624-AD74-42A36F200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5356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Menova Petra</cp:lastModifiedBy>
  <cp:revision>2</cp:revision>
  <dcterms:created xsi:type="dcterms:W3CDTF">2025-01-16T20:50:00Z</dcterms:created>
  <dcterms:modified xsi:type="dcterms:W3CDTF">2025-01-16T20:50:00Z</dcterms:modified>
</cp:coreProperties>
</file>